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w:t>
      </w:r>
      <w:r>
        <w:t xml:space="preserve"> </w:t>
      </w:r>
      <w:r>
        <w:t xml:space="preserve">Leaf area density (LAD;</w:t>
      </w:r>
      <w:r>
        <w:t xml:space="preserve"> </w:t>
      </w:r>
      <w:r>
        <w:rPr>
          <w:iCs/>
          <w:i/>
        </w:rPr>
        <w:t xml:space="preserve">i.e.</w:t>
      </w:r>
      <w:r>
        <w:t xml:space="preserve">, leaf area per unit volume) patterns along the vertical gradient are heterogeneous across forests.</w:t>
      </w:r>
      <w:r>
        <w:t xml:space="preserve"> </w:t>
      </w:r>
      <w:r>
        <w:t xml:space="preserve">Dense canopy forests composed of broadleaf trees can have high LAD in the upper canopy layers, as well as in the understory (e.g.,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shape of profile modified by leaf area index (LAI), canopy height, canopy structure, and across species and forest types</w:t>
      </w:r>
      <w:r>
        <w:rPr>
          <w:bCs/>
          <w:b/>
        </w:rPr>
        <w:t xml:space="preserve"> </w:t>
      </w:r>
      <w:r>
        <w:rPr>
          <w:bCs/>
          <w:b/>
        </w:rPr>
        <w:t xml:space="preserve">(Fig. 2,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than open canopy forests such as needle-leaf forests [Fig. 2;</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w:t>
      </w:r>
      <w:r>
        <w:t xml:space="preserve"> </w:t>
      </w:r>
      <w:r>
        <w:rPr>
          <w:bCs/>
          <w:b/>
        </w:rPr>
        <w:t xml:space="preserve">#</w:t>
      </w:r>
      <w:r>
        <w:t xml:space="preserve"> </w:t>
      </w:r>
      <w:r>
        <w:t xml:space="preserve">forested NEON sites.</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Cs/>
          <w:b/>
        </w:rPr>
        <w:t xml:space="preserve">#</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 Noteably,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Relative humidity,</w:t>
      </w:r>
      <w:r>
        <w:rPr>
          <w:bCs/>
          <w:b/>
        </w:rPr>
        <w:t xml:space="preserve"> </w:t>
      </w:r>
      <m:oMath>
        <m:r>
          <m:t>R</m:t>
        </m:r>
        <m:r>
          <m:t>H</m:t>
        </m:r>
      </m:oMath>
      <w:r>
        <w:rPr>
          <w:bCs/>
          <w:b/>
        </w:rPr>
        <w:t xml:space="preserve">, is generally highest in the understory and decreases with height across the vertical profile</w:t>
      </w:r>
      <w:r>
        <w:rPr>
          <w:bCs/>
          <w:b/>
        </w:rPr>
        <w:t xml:space="preserve"> </w:t>
      </w:r>
      <w:r>
        <w:rPr>
          <w:bCs/>
          <w:b/>
        </w:rPr>
        <w:t xml:space="preserve">(Fig. 2; e.g., McGregor</w:t>
      </w:r>
      <w:r>
        <w:rPr>
          <w:bCs/>
          <w:b/>
        </w:rPr>
        <w:t xml:space="preserve"> </w:t>
      </w:r>
      <w:r>
        <w:rPr>
          <w:iCs/>
          <w:i/>
          <w:bCs/>
          <w:b/>
        </w:rPr>
        <w:t xml:space="preserve">et al.</w:t>
      </w:r>
      <w:r>
        <w:rPr>
          <w:bCs/>
          <w:b/>
        </w:rPr>
        <w:t xml:space="preserve">)</w:t>
      </w:r>
      <w:r>
        <w:rPr>
          <w:bCs/>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Atmospheric carbon dioxide (CO</w:t>
      </w:r>
      <w:r>
        <w:rPr>
          <w:vertAlign w:val="subscript"/>
          <w:bCs/>
          <w:b/>
        </w:rPr>
        <w:t xml:space="preserve">2</w:t>
      </w:r>
      <w:r>
        <w:rPr>
          <w:bCs/>
          <w:b/>
        </w:rPr>
        <w:t xml:space="preserve">) concentrations tend to be higher near ground level at night, but largely dissipate during the day</w:t>
      </w:r>
      <w:r>
        <w:rPr>
          <w:bCs/>
          <w:b/>
        </w:rPr>
        <w:t xml:space="preserve"> </w:t>
      </w:r>
      <w:r>
        <w:rPr>
          <w:bCs/>
          <w:b/>
        </w:rPr>
        <w:t xml:space="preserve">(Yang</w:t>
      </w:r>
      <w:r>
        <w:rPr>
          <w:bCs/>
          <w:b/>
        </w:rPr>
        <w:t xml:space="preserve"> </w:t>
      </w:r>
      <w:r>
        <w:rPr>
          <w:iCs/>
          <w:i/>
          <w:bCs/>
          <w:b/>
        </w:rPr>
        <w:t xml:space="preserve">et al.</w:t>
      </w:r>
      <w:r>
        <w:rPr>
          <w:bCs/>
          <w:b/>
        </w:rPr>
        <w:t xml:space="preserve">, 1999; Koike</w:t>
      </w:r>
      <w:r>
        <w:rPr>
          <w:bCs/>
          <w:b/>
        </w:rPr>
        <w:t xml:space="preserve"> </w:t>
      </w:r>
      <w:r>
        <w:rPr>
          <w:iCs/>
          <w:i/>
          <w:bCs/>
          <w:b/>
        </w:rPr>
        <w:t xml:space="preserve">et al.</w:t>
      </w:r>
      <w:r>
        <w:rPr>
          <w:bCs/>
          <w:b/>
        </w:rPr>
        <w:t xml:space="preserve">, 2001)</w:t>
      </w:r>
      <w:r>
        <w:rPr>
          <w:bCs/>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Cs/>
          <w:b/>
        </w:rPr>
        <w:t xml:space="preserve">The buffering patterns described above vary geographically, seasonally, and across forests types [REFS;</w:t>
      </w:r>
      <w:r>
        <w:rPr>
          <w:bCs/>
          <w:b/>
        </w:rPr>
        <w:t xml:space="preserve"> </w:t>
      </w:r>
      <w:r>
        <w:rPr>
          <w:iCs/>
          <w:i/>
          <w:bCs/>
          <w:b/>
        </w:rPr>
        <w:t xml:space="preserve">Defrenne et al. 2021</w:t>
      </w:r>
      <w:r>
        <w:rPr>
          <w:bCs/>
          <w:b/>
        </w:rPr>
        <w:t xml:space="preserve">].</w:t>
      </w:r>
      <w:r>
        <w:t xml:space="preserve"> </w:t>
      </w:r>
      <w:r>
        <w:t xml:space="preserve">The strength of buffering in high elevation, in some cases, decreases when (</w:t>
      </w:r>
      <w:r>
        <w:rPr>
          <w:bCs/>
          <w:b/>
        </w:rPr>
        <w:t xml:space="preserve">THIS WILL NOT ALWAYS BE TRUE!–e.g., semi-arid regions where forest cover increases with elevation</w:t>
      </w:r>
      <w:r>
        <w:t xml:space="preserve">) moving to open-forests, and increases with canopy density</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Buffering capacity is also greater in wetter than drier regions [</w:t>
      </w:r>
      <w:r>
        <w:rPr>
          <w:bCs/>
          <w:b/>
        </w:rPr>
        <w:t xml:space="preserve">REF</w:t>
      </w:r>
      <w:r>
        <w:t xml:space="preserve">] and increases with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t xml:space="preserve">Seasonally, canopy buffering capacity is greater in wet than dry seasons, presumably because leaf area is greater in wet seasons</w:t>
      </w:r>
      <w:r>
        <w:t xml:space="preserve"> </w:t>
      </w:r>
      <w:r>
        <w:t xml:space="preserve">(von Arx</w:t>
      </w:r>
      <w:r>
        <w:t xml:space="preserve"> </w:t>
      </w:r>
      <w:r>
        <w:rPr>
          <w:iCs/>
          <w:i/>
        </w:rPr>
        <w:t xml:space="preserve">et al.</w:t>
      </w:r>
      <w:r>
        <w:t xml:space="preserve">, 2012; Rey-Sánchez</w:t>
      </w:r>
      <w:r>
        <w:t xml:space="preserve"> </w:t>
      </w:r>
      <w:r>
        <w:rPr>
          <w:iCs/>
          <w:i/>
        </w:rPr>
        <w:t xml:space="preserve">et al.</w:t>
      </w:r>
      <w:r>
        <w:t xml:space="preserve">, 2016; Fauset</w:t>
      </w:r>
      <w:r>
        <w:t xml:space="preserve"> </w:t>
      </w:r>
      <w:r>
        <w:rPr>
          <w:iCs/>
          <w:i/>
        </w:rPr>
        <w:t xml:space="preserve">et al.</w:t>
      </w:r>
      <w:r>
        <w:t xml:space="preserve">, 2018</w:t>
      </w:r>
      <w:r>
        <w:rPr>
          <w:bCs/>
          <w:b/>
        </w:rPr>
        <w:t xml:space="preserve">double check these refs–at least one didn’t belong</w:t>
      </w:r>
      <w:r>
        <w:t xml:space="preserve">; Davis</w:t>
      </w:r>
      <w:r>
        <w:t xml:space="preserve"> </w:t>
      </w:r>
      <w:r>
        <w:rPr>
          <w:iCs/>
          <w:i/>
        </w:rPr>
        <w:t xml:space="preserve">et al.</w:t>
      </w:r>
      <w:r>
        <w:t xml:space="preserve">, 2019)</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optimal 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Cs/>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to the environment (such as transpiration)</w:t>
      </w:r>
      <w:r>
        <w:t xml:space="preserve"> </w:t>
      </w:r>
      <w:r>
        <w:t xml:space="preserve">(Fig. 3, Campbell &amp; Norman, 1998; Michaletz</w:t>
      </w:r>
      <w:r>
        <w:t xml:space="preserve"> </w:t>
      </w:r>
      <w:r>
        <w:rPr>
          <w:iCs/>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Cs/>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With adequate water, species with smaller leaves and larger</w:t>
      </w:r>
      <w:r>
        <w:t xml:space="preserve"> </w:t>
      </w:r>
      <m:oMath>
        <m:r>
          <m:t>g</m:t>
        </m:r>
        <m:r>
          <m:t>s</m:t>
        </m:r>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Leaf energy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60" w:name="references"/>
    <w:p>
      <w:pPr>
        <w:pStyle w:val="Heading2"/>
      </w:pPr>
      <w:r>
        <w:t xml:space="preserve">References</w:t>
      </w:r>
    </w:p>
    <w:bookmarkStart w:id="259"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8"/>
    <w:bookmarkStart w:id="8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9"/>
    <w:bookmarkStart w:id="9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0"/>
    <w:bookmarkStart w:id="9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1"/>
    <w:bookmarkStart w:id="9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2"/>
    <w:bookmarkStart w:id="9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3"/>
    <w:bookmarkStart w:id="9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4"/>
    <w:bookmarkStart w:id="9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5"/>
    <w:bookmarkStart w:id="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6"/>
    <w:bookmarkStart w:id="97"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7"/>
    <w:bookmarkStart w:id="98"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8"/>
    <w:bookmarkStart w:id="9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9"/>
    <w:bookmarkStart w:id="10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0"/>
    <w:bookmarkStart w:id="10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1"/>
    <w:bookmarkStart w:id="10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2"/>
    <w:bookmarkStart w:id="10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3"/>
    <w:bookmarkStart w:id="10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4"/>
    <w:bookmarkStart w:id="10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5"/>
    <w:bookmarkStart w:id="10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6"/>
    <w:bookmarkStart w:id="10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7"/>
    <w:bookmarkStart w:id="10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8"/>
    <w:bookmarkStart w:id="109"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9"/>
    <w:bookmarkStart w:id="11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0"/>
    <w:bookmarkStart w:id="11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1"/>
    <w:bookmarkStart w:id="11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2"/>
    <w:bookmarkStart w:id="11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3"/>
    <w:bookmarkStart w:id="11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4"/>
    <w:bookmarkStart w:id="11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5"/>
    <w:bookmarkStart w:id="11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6"/>
    <w:bookmarkStart w:id="117"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7"/>
    <w:bookmarkStart w:id="11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8"/>
    <w:bookmarkStart w:id="119"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9"/>
    <w:bookmarkStart w:id="12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20"/>
    <w:bookmarkStart w:id="12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1"/>
    <w:bookmarkStart w:id="12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7"/>
    <w:bookmarkStart w:id="12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8"/>
    <w:bookmarkStart w:id="12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9"/>
    <w:bookmarkStart w:id="13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0"/>
    <w:bookmarkStart w:id="131"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1"/>
    <w:bookmarkStart w:id="132"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8"/>
    <w:bookmarkStart w:id="139"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9"/>
    <w:bookmarkStart w:id="140"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40"/>
    <w:bookmarkStart w:id="14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1"/>
    <w:bookmarkStart w:id="14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2"/>
    <w:bookmarkStart w:id="14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3"/>
    <w:bookmarkStart w:id="144"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4"/>
    <w:bookmarkStart w:id="14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5"/>
    <w:bookmarkStart w:id="14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6"/>
    <w:bookmarkStart w:id="14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7"/>
    <w:bookmarkStart w:id="14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8"/>
    <w:bookmarkStart w:id="14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9"/>
    <w:bookmarkStart w:id="15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50"/>
    <w:bookmarkStart w:id="15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1"/>
    <w:bookmarkStart w:id="15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2"/>
    <w:bookmarkStart w:id="15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3"/>
    <w:bookmarkStart w:id="15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4"/>
    <w:bookmarkStart w:id="15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5"/>
    <w:bookmarkStart w:id="156"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6"/>
    <w:bookmarkStart w:id="15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7"/>
    <w:bookmarkStart w:id="15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8"/>
    <w:bookmarkStart w:id="15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9"/>
    <w:bookmarkStart w:id="160"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60"/>
    <w:bookmarkStart w:id="16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1"/>
    <w:bookmarkStart w:id="16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2"/>
    <w:bookmarkStart w:id="16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3"/>
    <w:bookmarkStart w:id="164"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5"/>
    <w:bookmarkStart w:id="16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6"/>
    <w:bookmarkStart w:id="167"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7"/>
    <w:bookmarkStart w:id="16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5"/>
    <w:bookmarkStart w:id="1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6"/>
    <w:bookmarkStart w:id="1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7"/>
    <w:bookmarkStart w:id="178"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8"/>
    <w:bookmarkStart w:id="179"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9"/>
    <w:bookmarkStart w:id="180"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80"/>
    <w:bookmarkStart w:id="18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1"/>
    <w:bookmarkStart w:id="1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2"/>
    <w:bookmarkStart w:id="183"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3"/>
    <w:bookmarkStart w:id="18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4"/>
    <w:bookmarkStart w:id="18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5"/>
    <w:bookmarkStart w:id="18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6"/>
    <w:bookmarkStart w:id="18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7"/>
    <w:bookmarkStart w:id="18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8"/>
    <w:bookmarkStart w:id="1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9"/>
    <w:bookmarkStart w:id="1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0"/>
    <w:bookmarkStart w:id="1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1"/>
    <w:bookmarkStart w:id="1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2"/>
    <w:bookmarkStart w:id="19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3"/>
    <w:bookmarkStart w:id="1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4"/>
    <w:bookmarkStart w:id="195"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5"/>
    <w:bookmarkStart w:id="196"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6"/>
    <w:bookmarkStart w:id="1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7"/>
    <w:bookmarkStart w:id="1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8"/>
    <w:bookmarkStart w:id="1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9"/>
    <w:bookmarkStart w:id="2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0"/>
    <w:bookmarkStart w:id="2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1"/>
    <w:bookmarkStart w:id="202"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9"/>
    <w:bookmarkStart w:id="2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0"/>
    <w:bookmarkStart w:id="2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1"/>
    <w:bookmarkStart w:id="2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2"/>
    <w:bookmarkStart w:id="2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3"/>
    <w:bookmarkStart w:id="21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4"/>
    <w:bookmarkStart w:id="21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2"/>
    <w:bookmarkStart w:id="2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3"/>
    <w:bookmarkStart w:id="2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4"/>
    <w:bookmarkStart w:id="23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5"/>
    <w:bookmarkStart w:id="23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6"/>
    <w:bookmarkStart w:id="2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7"/>
    <w:bookmarkStart w:id="238"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8"/>
    <w:bookmarkStart w:id="23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9"/>
    <w:bookmarkStart w:id="24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0"/>
    <w:bookmarkStart w:id="24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1"/>
    <w:bookmarkStart w:id="24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2"/>
    <w:bookmarkStart w:id="243"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3"/>
    <w:bookmarkStart w:id="244"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4"/>
    <w:bookmarkStart w:id="24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5"/>
    <w:bookmarkStart w:id="24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6"/>
    <w:bookmarkStart w:id="24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7"/>
    <w:bookmarkStart w:id="2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8"/>
    <w:bookmarkStart w:id="24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9"/>
    <w:bookmarkStart w:id="25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0"/>
    <w:bookmarkStart w:id="25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1"/>
    <w:bookmarkStart w:id="25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2"/>
    <w:bookmarkStart w:id="25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3"/>
    <w:bookmarkStart w:id="25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4"/>
    <w:bookmarkStart w:id="25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5"/>
    <w:bookmarkStart w:id="25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2021-06-22T12:45:15Z</dcterms:created>
  <dcterms:modified xsi:type="dcterms:W3CDTF">2021-06-22T12:45:15Z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